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XII</w:t>
      </w:r>
    </w:p>
    <w:p>
      <w:pPr>
        <w:pStyle w:val="Body"/>
        <w:bidi w:val="0"/>
      </w:pPr>
    </w:p>
    <w:p>
      <w:pPr>
        <w:pStyle w:val="Body"/>
        <w:spacing w:line="360" w:lineRule="auto"/>
      </w:pPr>
      <w:r>
        <w:rPr>
          <w:rtl w:val="0"/>
        </w:rPr>
        <w:tab/>
        <w:t xml:space="preserve">Flumen est Arar, quod per fines Haeduorum et Sequanorum in Rhodanum influit, incredibili lenitate, ita ut oculis </w:t>
      </w:r>
      <w:r>
        <w:rPr>
          <w:b w:val="1"/>
          <w:bCs w:val="1"/>
          <w:rtl w:val="0"/>
          <w:lang w:val="en-US"/>
        </w:rPr>
        <w:t>in utram</w:t>
      </w:r>
      <w:r>
        <w:rPr>
          <w:rtl w:val="0"/>
          <w:lang w:val="en-US"/>
        </w:rPr>
        <w:t xml:space="preserve"> partem fluat iudicari non possit. Id Helvetii ratibus ac lintribus iunctis transibant. Ubi per exploratores Caesar </w:t>
      </w:r>
      <w:r>
        <w:rPr>
          <w:b w:val="1"/>
          <w:bCs w:val="1"/>
          <w:rtl w:val="0"/>
          <w:lang w:val="en-US"/>
        </w:rPr>
        <w:t>certior factus est</w:t>
      </w:r>
      <w:r>
        <w:rPr>
          <w:rtl w:val="0"/>
          <w:lang w:val="en-US"/>
        </w:rPr>
        <w:t xml:space="preserve"> tres partes Helvetiorum flumen traduxisse, quartam fere partem citra flumen </w:t>
      </w:r>
      <w:r>
        <w:rPr>
          <w:b w:val="1"/>
          <w:bCs w:val="1"/>
          <w:rtl w:val="0"/>
          <w:lang w:val="en-US"/>
        </w:rPr>
        <w:t>Ararim</w:t>
      </w:r>
      <w:r>
        <w:rPr>
          <w:rtl w:val="0"/>
          <w:lang w:val="en-US"/>
        </w:rPr>
        <w:t xml:space="preserve"> reliquam esse, </w:t>
      </w:r>
      <w:r>
        <w:rPr>
          <w:b w:val="1"/>
          <w:bCs w:val="1"/>
          <w:rtl w:val="0"/>
          <w:lang w:val="en-US"/>
        </w:rPr>
        <w:t>de tertia vigilia</w:t>
      </w:r>
      <w:r>
        <w:rPr>
          <w:rtl w:val="0"/>
          <w:lang w:val="en-US"/>
        </w:rPr>
        <w:t xml:space="preserve"> cum legionibus tribus e castris profectus ad eam partem pervenit </w:t>
      </w:r>
      <w:r>
        <w:rPr>
          <w:b w:val="1"/>
          <w:bCs w:val="1"/>
          <w:rtl w:val="0"/>
          <w:lang w:val="en-US"/>
        </w:rPr>
        <w:t>quae</w:t>
      </w:r>
      <w:r>
        <w:rPr>
          <w:rtl w:val="0"/>
          <w:lang w:val="en-US"/>
        </w:rPr>
        <w:t xml:space="preserve"> nondum flumen transierat. Eos impeditos et inopinantes adgressus magnam partem eorum concidit: reliqui </w:t>
      </w:r>
      <w:r>
        <w:rPr>
          <w:b w:val="1"/>
          <w:bCs w:val="1"/>
          <w:rtl w:val="0"/>
          <w:lang w:val="en-US"/>
        </w:rPr>
        <w:t>sese fugae mandarunt</w:t>
      </w:r>
      <w:r>
        <w:rPr>
          <w:rtl w:val="0"/>
          <w:lang w:val="en-US"/>
        </w:rPr>
        <w:t xml:space="preserve"> atque in proximas silvas abdiderunt. Is pagus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appellabatur Tigurinus: nam omnis civitas </w:t>
      </w:r>
      <w:r>
        <w:rPr>
          <w:b w:val="1"/>
          <w:bCs w:val="1"/>
          <w:rtl w:val="0"/>
          <w:lang w:val="en-US"/>
        </w:rPr>
        <w:t>Helvetia</w:t>
      </w:r>
      <w:r>
        <w:rPr>
          <w:rtl w:val="0"/>
          <w:lang w:val="en-US"/>
        </w:rPr>
        <w:t xml:space="preserve"> in quattuor pagos divisa est. Hic pagus unus </w:t>
      </w:r>
      <w:r>
        <w:rPr>
          <w:b w:val="1"/>
          <w:bCs w:val="1"/>
          <w:rtl w:val="0"/>
          <w:lang w:val="en-US"/>
        </w:rPr>
        <w:t>cum</w:t>
      </w:r>
      <w:r>
        <w:rPr>
          <w:rtl w:val="0"/>
          <w:lang w:val="en-US"/>
        </w:rPr>
        <w:t xml:space="preserve"> domo exisset </w:t>
      </w:r>
      <w:r>
        <w:rPr>
          <w:b w:val="1"/>
          <w:bCs w:val="1"/>
          <w:rtl w:val="0"/>
          <w:lang w:val="en-US"/>
        </w:rPr>
        <w:t>patrum nostrorum memoria</w:t>
      </w:r>
      <w:r>
        <w:rPr>
          <w:rtl w:val="0"/>
          <w:lang w:val="en-US"/>
        </w:rPr>
        <w:t xml:space="preserve"> L. Cassium consulem interfecerat et eius exercitum sub iugum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miserat. Ita sive casu sive consilio deorum immortalium, quae pars civitatis Helvetiae insignem calamitatem populo Romano intulerat, </w:t>
      </w:r>
      <w:r>
        <w:rPr>
          <w:b w:val="1"/>
          <w:bCs w:val="1"/>
          <w:rtl w:val="0"/>
          <w:lang w:val="en-US"/>
        </w:rPr>
        <w:t>ea princeps</w:t>
      </w:r>
      <w:r>
        <w:rPr>
          <w:rtl w:val="0"/>
          <w:lang w:val="en-US"/>
        </w:rPr>
        <w:t xml:space="preserve"> poenas persolvit. </w:t>
      </w:r>
      <w:r>
        <w:rPr>
          <w:b w:val="1"/>
          <w:bCs w:val="1"/>
          <w:rtl w:val="0"/>
          <w:lang w:val="en-US"/>
        </w:rPr>
        <w:t>Qua in re</w:t>
      </w:r>
      <w:r>
        <w:rPr>
          <w:rtl w:val="0"/>
          <w:lang w:val="en-US"/>
        </w:rPr>
        <w:t xml:space="preserve"> Caesar non solum publicas, sed etiam privatas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 iniurias </w:t>
      </w:r>
      <w:r>
        <w:rPr>
          <w:b w:val="1"/>
          <w:bCs w:val="1"/>
          <w:rtl w:val="0"/>
          <w:lang w:val="en-US"/>
        </w:rPr>
        <w:t>ultus est</w:t>
      </w:r>
      <w:r>
        <w:rPr>
          <w:rtl w:val="0"/>
          <w:lang w:val="en-US"/>
        </w:rPr>
        <w:t>, quod eius soceri L. Pisonis avum, L. Pisonem</w:t>
      </w:r>
      <w:r>
        <w:rPr>
          <w:rFonts w:ascii="Times New Roman" w:cs="Times New Roman" w:hAnsi="Times New Roman" w:eastAsia="Times New Roman"/>
          <w:vertAlign w:val="superscript"/>
        </w:rPr>
        <w:footnoteReference w:id="4"/>
      </w:r>
      <w:r>
        <w:rPr>
          <w:rtl w:val="0"/>
          <w:lang w:val="en-US"/>
        </w:rPr>
        <w:t xml:space="preserve"> legatum, Tigurini eodem proelio quo Cassium </w:t>
      </w:r>
      <w:r>
        <w:rPr>
          <w:b w:val="1"/>
          <w:bCs w:val="1"/>
          <w:rtl w:val="0"/>
          <w:lang w:val="en-US"/>
        </w:rPr>
        <w:t>interfecerant</w:t>
      </w:r>
      <w:r>
        <w:rPr>
          <w:rtl w:val="0"/>
          <w:lang w:val="en-US"/>
        </w:rPr>
        <w:t xml:space="preserve">. </w:t>
      </w: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in utram: </w:t>
      </w:r>
      <w:r>
        <w:rPr>
          <w:b w:val="0"/>
          <w:bCs w:val="0"/>
          <w:i w:val="1"/>
          <w:iCs w:val="1"/>
          <w:rtl w:val="0"/>
          <w:lang w:val="en-US"/>
        </w:rPr>
        <w:t>introduces an indirect question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certior factus est: </w:t>
      </w:r>
      <w:r>
        <w:rPr>
          <w:b w:val="0"/>
          <w:bCs w:val="0"/>
          <w:i w:val="1"/>
          <w:iCs w:val="1"/>
          <w:rtl w:val="0"/>
          <w:lang w:val="en-US"/>
        </w:rPr>
        <w:t>introduces indirect speech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Ararim: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rtl w:val="0"/>
          <w:lang w:val="en-US"/>
        </w:rPr>
        <w:t xml:space="preserve">accusative form w/ </w:t>
      </w:r>
      <w:r>
        <w:rPr>
          <w:b w:val="1"/>
          <w:bCs w:val="1"/>
          <w:i w:val="1"/>
          <w:iCs w:val="1"/>
          <w:rtl w:val="0"/>
          <w:lang w:val="en-US"/>
        </w:rPr>
        <w:t>flumen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de tertia vigilia: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from the third watch of the night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i w:val="1"/>
          <w:iCs w:val="1"/>
          <w:rtl w:val="0"/>
          <w:lang w:val="en-US"/>
        </w:rPr>
        <w:t>Caesar left after sunset, from 7-9pm.</w:t>
      </w: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rtl w:val="0"/>
          <w:lang w:val="en-US"/>
        </w:rPr>
        <w:t>quae</w:t>
      </w:r>
      <w:r>
        <w:rPr>
          <w:i w:val="1"/>
          <w:iCs w:val="1"/>
          <w:rtl w:val="0"/>
          <w:lang w:val="en-US"/>
        </w:rPr>
        <w:t xml:space="preserve">: antecedent is </w:t>
      </w:r>
      <w:r>
        <w:rPr>
          <w:rFonts w:hAnsi="Helvetica" w:hint="default"/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quartam partem</w:t>
      </w:r>
      <w:r>
        <w:rPr>
          <w:rFonts w:hAnsi="Helvetica" w:hint="default"/>
          <w:i w:val="1"/>
          <w:iCs w:val="1"/>
          <w:rtl w:val="0"/>
          <w:lang w:val="en-US"/>
        </w:rPr>
        <w:t xml:space="preserve">”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Helvetia: </w:t>
      </w:r>
      <w:r>
        <w:rPr>
          <w:b w:val="0"/>
          <w:bCs w:val="0"/>
          <w:i w:val="1"/>
          <w:iCs w:val="1"/>
          <w:rtl w:val="0"/>
          <w:lang w:val="en-US"/>
        </w:rPr>
        <w:t xml:space="preserve">adjective form 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sese fugae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 xml:space="preserve">mandarunt: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ordered themselves to flight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i w:val="1"/>
          <w:iCs w:val="1"/>
          <w:rtl w:val="0"/>
          <w:lang w:val="en-US"/>
        </w:rPr>
        <w:t>mandarunt is a syncopated prefect tense form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cum: </w:t>
      </w:r>
      <w:r>
        <w:rPr>
          <w:b w:val="0"/>
          <w:bCs w:val="0"/>
          <w:i w:val="1"/>
          <w:iCs w:val="1"/>
          <w:rtl w:val="0"/>
          <w:lang w:val="en-US"/>
        </w:rPr>
        <w:t xml:space="preserve">here,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when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patrum nostrorum memoria</w:t>
      </w:r>
      <w:r>
        <w:rPr>
          <w:b w:val="0"/>
          <w:bCs w:val="0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in the memory of our fathers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i w:val="1"/>
          <w:iCs w:val="1"/>
          <w:rtl w:val="0"/>
          <w:lang w:val="en-US"/>
        </w:rPr>
        <w:t xml:space="preserve"> has a sense along the lines of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b w:val="0"/>
          <w:bCs w:val="0"/>
          <w:i w:val="1"/>
          <w:iCs w:val="1"/>
          <w:rtl w:val="0"/>
          <w:lang w:val="en-US"/>
        </w:rPr>
        <w:t>god rest his soul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ea princeps</w:t>
      </w:r>
      <w:r>
        <w:rPr>
          <w:i w:val="1"/>
          <w:iCs w:val="1"/>
          <w:rtl w:val="0"/>
          <w:lang w:val="en-US"/>
        </w:rPr>
        <w:t xml:space="preserve">: </w:t>
      </w:r>
      <w:r>
        <w:rPr>
          <w:b w:val="1"/>
          <w:bCs w:val="1"/>
          <w:rtl w:val="0"/>
          <w:lang w:val="en-US"/>
        </w:rPr>
        <w:t>ea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 xml:space="preserve">refers back to </w:t>
      </w:r>
      <w:r>
        <w:rPr>
          <w:b w:val="1"/>
          <w:bCs w:val="1"/>
          <w:rtl w:val="0"/>
          <w:lang w:val="en-US"/>
        </w:rPr>
        <w:t>pars civitatis Helvetiae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 xml:space="preserve">and </w:t>
      </w:r>
      <w:r>
        <w:rPr>
          <w:b w:val="1"/>
          <w:bCs w:val="1"/>
          <w:rtl w:val="0"/>
          <w:lang w:val="en-US"/>
        </w:rPr>
        <w:t>princeps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 xml:space="preserve">is an adjective agreeing with it.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This [part] chiefly</w:t>
      </w:r>
      <w:r>
        <w:rPr>
          <w:rFonts w:hAnsi="Helvetica" w:hint="default"/>
          <w:rtl w:val="0"/>
          <w:lang w:val="en-US"/>
        </w:rPr>
        <w:t>…”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qua in re: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In which action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>/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by this battle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ultus est: </w:t>
      </w:r>
      <w:r>
        <w:rPr>
          <w:b w:val="0"/>
          <w:bCs w:val="0"/>
          <w:i w:val="1"/>
          <w:iCs w:val="1"/>
          <w:rtl w:val="0"/>
          <w:lang w:val="en-US"/>
        </w:rPr>
        <w:t xml:space="preserve">from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‘</w:t>
      </w:r>
      <w:r>
        <w:rPr>
          <w:b w:val="1"/>
          <w:bCs w:val="1"/>
          <w:rtl w:val="0"/>
          <w:lang w:val="en-US"/>
        </w:rPr>
        <w:t>ulciscor</w:t>
      </w:r>
      <w:r>
        <w:rPr>
          <w:rFonts w:hAnsi="Helvetica" w:hint="default"/>
          <w:b w:val="1"/>
          <w:bCs w:val="1"/>
          <w:rtl w:val="0"/>
          <w:lang w:val="en-US"/>
        </w:rPr>
        <w:t>’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interfecerant</w:t>
      </w:r>
      <w:r>
        <w:rPr>
          <w:rtl w:val="0"/>
          <w:lang w:val="en-US"/>
        </w:rPr>
        <w:t xml:space="preserve">: </w:t>
      </w:r>
      <w:r>
        <w:rPr>
          <w:i w:val="1"/>
          <w:iCs w:val="1"/>
          <w:rtl w:val="0"/>
          <w:lang w:val="en-US"/>
        </w:rPr>
        <w:t>Helvetians are the subject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pagus: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canton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 canton is considered a sort of county or subsection of a wider state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—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in this instance, it describes a subsection of the whole Helvetian state, a clan within the complete tribe. 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sub iugum miserat: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had sent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rtl w:val="0"/>
          <w:lang w:val="en-US"/>
        </w:rPr>
        <w:t>under the yoke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this is a particularly insulting and humiliating punishment that peoples in ancient Italy practiced, including the Romans. The defeated must strip off their armor, give up their weapons, and then walk under a roof of spears formed by the enemy. 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>publicas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privatas: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Caesar had not only avenged the Roman people as a whole, but also avenged his family. 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L. Pisonem: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Romans often had an extremely similar naming system for sons and fathers. Caesar is referring to a certain Lucius Piso, who is the grandfather of his father-in-law (also named Lucius Piso), who was killed in battle by this group of Helvetians. 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